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Transcript – Internet Banking: Add Beneficiary</w:t>
      </w:r>
    </w:p>
    <w:p>
      <w:r>
        <w:t>[00:00–00:10] IOB branding appears. The video introduces the process of adding a beneficiary using Internet Banking.</w:t>
      </w:r>
    </w:p>
    <w:p>
      <w:r>
        <w:t>[00:10–00:35] Step 3 is displayed. The Internet Banking dashboard opens. The narrator instructs the user to navigate to Beneficiary Management and choose Add Beneficiary. The cursor selects the Add Beneficiary button.</w:t>
      </w:r>
    </w:p>
    <w:p>
      <w:r>
        <w:t>[00:35–01:15] Step 4: Enter Beneficiary Details. A beneficiary form opens. The user selects the beneficiary type and enters required details such as beneficiary name, nickname, account number, confirm account number, IFSC code, bank and branch information. The narrator explains each field while it is completed on screen.</w:t>
      </w:r>
    </w:p>
    <w:p>
      <w:r>
        <w:t>[01:15–01:45] The entered details are reviewed. The Proceed/Submit option is selected. The application validates and submits the beneficiary information.</w:t>
      </w:r>
    </w:p>
    <w:p>
      <w:r>
        <w:t>[01:45–02:03] A confirmation screen appears indicating the beneficiary has been added successfully. The video explains that the beneficiary will become active after the specified activation/cooling period before fund transfers can be made. The video ends on the confirmation screen.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